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87" w:rsidRDefault="000A1287">
      <w:pPr>
        <w:rPr>
          <w:rStyle w:val="Strong"/>
          <w:rFonts w:ascii="Arial" w:hAnsi="Arial" w:cs="Arial"/>
          <w:color w:val="000000"/>
          <w:sz w:val="54"/>
          <w:szCs w:val="54"/>
          <w:shd w:val="clear" w:color="auto" w:fill="FFFFFF"/>
        </w:rPr>
      </w:pPr>
      <w:r>
        <w:rPr>
          <w:rStyle w:val="Strong"/>
          <w:rFonts w:ascii="Arial" w:hAnsi="Arial" w:cs="Arial"/>
          <w:color w:val="000000"/>
          <w:sz w:val="54"/>
          <w:szCs w:val="54"/>
          <w:shd w:val="clear" w:color="auto" w:fill="FFFFFF"/>
        </w:rPr>
        <w:t>How ELSS Mutual funds can grow your money &amp; save tax too</w:t>
      </w:r>
    </w:p>
    <w:p w:rsidR="000A1287" w:rsidRPr="000A1287" w:rsidRDefault="000A1287" w:rsidP="000A1287">
      <w:pPr>
        <w:shd w:val="clear" w:color="auto" w:fill="FFFFFF"/>
        <w:spacing w:after="0" w:line="272" w:lineRule="atLeast"/>
        <w:jc w:val="both"/>
        <w:rPr>
          <w:rFonts w:ascii="Arial" w:eastAsia="Times New Roman" w:hAnsi="Arial" w:cs="Arial"/>
          <w:color w:val="000000"/>
          <w:sz w:val="20"/>
          <w:szCs w:val="20"/>
        </w:rPr>
      </w:pPr>
      <w:r w:rsidRPr="000A1287">
        <w:rPr>
          <w:rFonts w:ascii="Arial" w:eastAsia="Times New Roman" w:hAnsi="Arial" w:cs="Arial"/>
          <w:color w:val="000000"/>
          <w:sz w:val="20"/>
          <w:szCs w:val="20"/>
        </w:rPr>
        <w:t xml:space="preserve">There </w:t>
      </w:r>
      <w:proofErr w:type="gramStart"/>
      <w:r w:rsidRPr="000A1287">
        <w:rPr>
          <w:rFonts w:ascii="Arial" w:eastAsia="Times New Roman" w:hAnsi="Arial" w:cs="Arial"/>
          <w:color w:val="000000"/>
          <w:sz w:val="20"/>
          <w:szCs w:val="20"/>
        </w:rPr>
        <w:t>are</w:t>
      </w:r>
      <w:proofErr w:type="gramEnd"/>
      <w:r w:rsidRPr="000A1287">
        <w:rPr>
          <w:rFonts w:ascii="Arial" w:eastAsia="Times New Roman" w:hAnsi="Arial" w:cs="Arial"/>
          <w:color w:val="000000"/>
          <w:sz w:val="20"/>
          <w:szCs w:val="20"/>
        </w:rPr>
        <w:t xml:space="preserve"> various tax saving investment options where an individual can save tax u/s 80C of Income Tax Act. However, all such investment options come with fixed returns. One of the best ways to grow your money along with saving tax is to invest in Equity Linked Saving Scheme (ELSS) Mutual Funds in India.</w:t>
      </w:r>
    </w:p>
    <w:p w:rsidR="000A1287" w:rsidRPr="000A1287" w:rsidRDefault="000A1287" w:rsidP="000A1287">
      <w:pPr>
        <w:spacing w:after="0" w:line="240" w:lineRule="auto"/>
        <w:jc w:val="both"/>
        <w:rPr>
          <w:rFonts w:ascii="Times New Roman" w:eastAsia="Times New Roman" w:hAnsi="Times New Roman" w:cs="Times New Roman"/>
          <w:sz w:val="24"/>
          <w:szCs w:val="24"/>
        </w:rPr>
      </w:pPr>
      <w:r w:rsidRPr="000A1287">
        <w:rPr>
          <w:rFonts w:ascii="Arial" w:eastAsia="Times New Roman" w:hAnsi="Arial" w:cs="Arial"/>
          <w:color w:val="000000"/>
          <w:sz w:val="20"/>
          <w:szCs w:val="20"/>
        </w:rPr>
        <w:br/>
      </w:r>
    </w:p>
    <w:p w:rsidR="000A1287" w:rsidRPr="000A1287" w:rsidRDefault="000A1287" w:rsidP="000A1287">
      <w:pPr>
        <w:shd w:val="clear" w:color="auto" w:fill="FFFFFF"/>
        <w:spacing w:after="0" w:line="272" w:lineRule="atLeast"/>
        <w:rPr>
          <w:rFonts w:ascii="Arial" w:eastAsia="Times New Roman" w:hAnsi="Arial" w:cs="Arial"/>
          <w:color w:val="000000"/>
          <w:sz w:val="20"/>
          <w:szCs w:val="20"/>
        </w:rPr>
      </w:pPr>
      <w:r w:rsidRPr="000A1287">
        <w:rPr>
          <w:rFonts w:ascii="Arial" w:eastAsia="Times New Roman" w:hAnsi="Arial" w:cs="Arial"/>
          <w:b/>
          <w:bCs/>
          <w:color w:val="000000"/>
          <w:sz w:val="20"/>
        </w:rPr>
        <w:t>What are Equity Linked Saving Scheme (ELSS) Mutual funds?</w:t>
      </w:r>
      <w:r w:rsidRPr="000A1287">
        <w:rPr>
          <w:rFonts w:ascii="Arial" w:eastAsia="Times New Roman" w:hAnsi="Arial" w:cs="Arial"/>
          <w:color w:val="000000"/>
          <w:sz w:val="20"/>
          <w:szCs w:val="20"/>
        </w:rPr>
        <w:br/>
        <w:t xml:space="preserve">ELSS mutual funds in simple term are </w:t>
      </w:r>
      <w:proofErr w:type="gramStart"/>
      <w:r w:rsidRPr="000A1287">
        <w:rPr>
          <w:rFonts w:ascii="Arial" w:eastAsia="Times New Roman" w:hAnsi="Arial" w:cs="Arial"/>
          <w:color w:val="000000"/>
          <w:sz w:val="20"/>
          <w:szCs w:val="20"/>
        </w:rPr>
        <w:t>mutual fund schemes that invests</w:t>
      </w:r>
      <w:proofErr w:type="gramEnd"/>
      <w:r w:rsidRPr="000A1287">
        <w:rPr>
          <w:rFonts w:ascii="Arial" w:eastAsia="Times New Roman" w:hAnsi="Arial" w:cs="Arial"/>
          <w:color w:val="000000"/>
          <w:sz w:val="20"/>
          <w:szCs w:val="20"/>
        </w:rPr>
        <w:t xml:space="preserve"> 65% in equity related instruments that are notified to avail tax benefits. Investment in such ELSS MFs would provide tax benefit to investors u/s 80C, which is capped to a maximum of Rs 1</w:t>
      </w:r>
      <w:r w:rsidR="00BE584E">
        <w:rPr>
          <w:rFonts w:ascii="Arial" w:eastAsia="Times New Roman" w:hAnsi="Arial" w:cs="Arial"/>
          <w:color w:val="000000"/>
          <w:sz w:val="20"/>
          <w:szCs w:val="20"/>
        </w:rPr>
        <w:t>.5</w:t>
      </w:r>
      <w:r w:rsidRPr="000A1287">
        <w:rPr>
          <w:rFonts w:ascii="Arial" w:eastAsia="Times New Roman" w:hAnsi="Arial" w:cs="Arial"/>
          <w:color w:val="000000"/>
          <w:sz w:val="20"/>
          <w:szCs w:val="20"/>
        </w:rPr>
        <w:t xml:space="preserve"> </w:t>
      </w:r>
      <w:proofErr w:type="spellStart"/>
      <w:r w:rsidRPr="000A1287">
        <w:rPr>
          <w:rFonts w:ascii="Arial" w:eastAsia="Times New Roman" w:hAnsi="Arial" w:cs="Arial"/>
          <w:color w:val="000000"/>
          <w:sz w:val="20"/>
          <w:szCs w:val="20"/>
        </w:rPr>
        <w:t>Lakh</w:t>
      </w:r>
      <w:proofErr w:type="spellEnd"/>
      <w:proofErr w:type="gramStart"/>
      <w:r w:rsidRPr="000A1287">
        <w:rPr>
          <w:rFonts w:ascii="Arial" w:eastAsia="Times New Roman" w:hAnsi="Arial" w:cs="Arial"/>
          <w:color w:val="000000"/>
          <w:sz w:val="20"/>
          <w:szCs w:val="20"/>
        </w:rPr>
        <w:t>.</w:t>
      </w:r>
      <w:r w:rsidR="00BE584E" w:rsidRPr="00BE584E">
        <w:rPr>
          <w:rFonts w:ascii="Arial" w:eastAsia="Times New Roman" w:hAnsi="Arial" w:cs="Arial"/>
          <w:b/>
          <w:color w:val="000000"/>
          <w:sz w:val="20"/>
          <w:szCs w:val="20"/>
        </w:rPr>
        <w:t>(</w:t>
      </w:r>
      <w:proofErr w:type="gramEnd"/>
      <w:r w:rsidR="00BE584E" w:rsidRPr="00BE584E">
        <w:rPr>
          <w:rFonts w:ascii="Arial" w:eastAsia="Times New Roman" w:hAnsi="Arial" w:cs="Arial"/>
          <w:b/>
          <w:color w:val="000000"/>
          <w:sz w:val="20"/>
          <w:szCs w:val="20"/>
        </w:rPr>
        <w:t>New Budget Norms 2014-2015)</w:t>
      </w:r>
    </w:p>
    <w:p w:rsidR="000A1287" w:rsidRPr="000A1287" w:rsidRDefault="000A1287" w:rsidP="000A1287">
      <w:pPr>
        <w:spacing w:after="0" w:line="240" w:lineRule="auto"/>
        <w:rPr>
          <w:rFonts w:ascii="Times New Roman" w:eastAsia="Times New Roman" w:hAnsi="Times New Roman" w:cs="Times New Roman"/>
          <w:sz w:val="24"/>
          <w:szCs w:val="24"/>
        </w:rPr>
      </w:pPr>
      <w:r w:rsidRPr="000A1287">
        <w:rPr>
          <w:rFonts w:ascii="Arial" w:eastAsia="Times New Roman" w:hAnsi="Arial" w:cs="Arial"/>
          <w:color w:val="000000"/>
          <w:sz w:val="20"/>
          <w:szCs w:val="20"/>
        </w:rPr>
        <w:br/>
      </w:r>
    </w:p>
    <w:p w:rsidR="000A1287" w:rsidRPr="000A1287" w:rsidRDefault="000A1287" w:rsidP="000A1287">
      <w:pPr>
        <w:shd w:val="clear" w:color="auto" w:fill="FFFFFF"/>
        <w:spacing w:after="0" w:line="272" w:lineRule="atLeast"/>
        <w:rPr>
          <w:rFonts w:ascii="Arial" w:eastAsia="Times New Roman" w:hAnsi="Arial" w:cs="Arial"/>
          <w:color w:val="000000"/>
          <w:sz w:val="20"/>
          <w:szCs w:val="20"/>
        </w:rPr>
      </w:pPr>
      <w:r w:rsidRPr="000A1287">
        <w:rPr>
          <w:rFonts w:ascii="Arial" w:eastAsia="Times New Roman" w:hAnsi="Arial" w:cs="Arial"/>
          <w:b/>
          <w:bCs/>
          <w:color w:val="000000"/>
          <w:sz w:val="20"/>
        </w:rPr>
        <w:t>How do you benefit from ELSS Mutual funds?</w:t>
      </w:r>
      <w:r w:rsidRPr="000A1287">
        <w:rPr>
          <w:rFonts w:ascii="Arial" w:eastAsia="Times New Roman" w:hAnsi="Arial" w:cs="Arial"/>
          <w:color w:val="000000"/>
          <w:sz w:val="20"/>
        </w:rPr>
        <w:t> </w:t>
      </w:r>
      <w:r w:rsidRPr="000A1287">
        <w:rPr>
          <w:rFonts w:ascii="Arial" w:eastAsia="Times New Roman" w:hAnsi="Arial" w:cs="Arial"/>
          <w:color w:val="000000"/>
          <w:sz w:val="20"/>
          <w:szCs w:val="20"/>
        </w:rPr>
        <w:br/>
        <w:t>There are various ways you would benefit from ELSS mutual funds.</w:t>
      </w:r>
    </w:p>
    <w:p w:rsidR="000A1287" w:rsidRPr="000A1287" w:rsidRDefault="000A1287" w:rsidP="000A1287">
      <w:pPr>
        <w:spacing w:after="0" w:line="240" w:lineRule="auto"/>
        <w:rPr>
          <w:rFonts w:ascii="Times New Roman" w:eastAsia="Times New Roman" w:hAnsi="Times New Roman" w:cs="Times New Roman"/>
          <w:sz w:val="24"/>
          <w:szCs w:val="24"/>
        </w:rPr>
      </w:pPr>
      <w:r w:rsidRPr="000A1287">
        <w:rPr>
          <w:rFonts w:ascii="Arial" w:eastAsia="Times New Roman" w:hAnsi="Arial" w:cs="Arial"/>
          <w:color w:val="000000"/>
          <w:sz w:val="20"/>
          <w:szCs w:val="20"/>
        </w:rPr>
        <w:br/>
      </w:r>
    </w:p>
    <w:p w:rsidR="000A1287" w:rsidRPr="000A1287" w:rsidRDefault="000A1287" w:rsidP="000A1287">
      <w:pPr>
        <w:shd w:val="clear" w:color="auto" w:fill="FFFFFF"/>
        <w:spacing w:after="0" w:line="272" w:lineRule="atLeast"/>
        <w:rPr>
          <w:rFonts w:ascii="Arial" w:eastAsia="Times New Roman" w:hAnsi="Arial" w:cs="Arial"/>
          <w:color w:val="000000"/>
          <w:sz w:val="20"/>
          <w:szCs w:val="20"/>
        </w:rPr>
      </w:pPr>
      <w:r w:rsidRPr="000A1287">
        <w:rPr>
          <w:rFonts w:ascii="Arial" w:eastAsia="Times New Roman" w:hAnsi="Arial" w:cs="Arial"/>
          <w:color w:val="000000"/>
          <w:sz w:val="20"/>
          <w:szCs w:val="20"/>
        </w:rPr>
        <w:t>1)</w:t>
      </w:r>
      <w:r w:rsidRPr="000A1287">
        <w:rPr>
          <w:rFonts w:ascii="Arial" w:eastAsia="Times New Roman" w:hAnsi="Arial" w:cs="Arial"/>
          <w:color w:val="000000"/>
          <w:sz w:val="20"/>
        </w:rPr>
        <w:t> </w:t>
      </w:r>
      <w:r w:rsidRPr="000A1287">
        <w:rPr>
          <w:rFonts w:ascii="Arial" w:eastAsia="Times New Roman" w:hAnsi="Arial" w:cs="Arial"/>
          <w:b/>
          <w:bCs/>
          <w:color w:val="000000"/>
          <w:sz w:val="20"/>
        </w:rPr>
        <w:t>ELSS mutual funds help you to grow money:</w:t>
      </w:r>
      <w:r w:rsidRPr="000A1287">
        <w:rPr>
          <w:rFonts w:ascii="Arial" w:eastAsia="Times New Roman" w:hAnsi="Arial" w:cs="Arial"/>
          <w:color w:val="000000"/>
          <w:sz w:val="20"/>
        </w:rPr>
        <w:t> </w:t>
      </w:r>
      <w:r w:rsidRPr="000A1287">
        <w:rPr>
          <w:rFonts w:ascii="Arial" w:eastAsia="Times New Roman" w:hAnsi="Arial" w:cs="Arial"/>
          <w:color w:val="000000"/>
          <w:sz w:val="20"/>
          <w:szCs w:val="20"/>
        </w:rPr>
        <w:t>Since ELSS mutual funds invests in equity related instruments, these schemes would help you to grow your money when the stock market grows over a period of time.</w:t>
      </w:r>
    </w:p>
    <w:p w:rsidR="000A1287" w:rsidRPr="000A1287" w:rsidRDefault="000A1287" w:rsidP="000A1287">
      <w:pPr>
        <w:spacing w:after="0" w:line="240" w:lineRule="auto"/>
        <w:rPr>
          <w:rFonts w:ascii="Times New Roman" w:eastAsia="Times New Roman" w:hAnsi="Times New Roman" w:cs="Times New Roman"/>
          <w:sz w:val="24"/>
          <w:szCs w:val="24"/>
        </w:rPr>
      </w:pPr>
      <w:r w:rsidRPr="000A1287">
        <w:rPr>
          <w:rFonts w:ascii="Arial" w:eastAsia="Times New Roman" w:hAnsi="Arial" w:cs="Arial"/>
          <w:color w:val="000000"/>
          <w:sz w:val="20"/>
          <w:szCs w:val="20"/>
        </w:rPr>
        <w:br/>
      </w:r>
    </w:p>
    <w:p w:rsidR="000A1287" w:rsidRPr="000A1287" w:rsidRDefault="000A1287" w:rsidP="000A1287">
      <w:pPr>
        <w:shd w:val="clear" w:color="auto" w:fill="FFFFFF"/>
        <w:spacing w:after="0" w:line="272" w:lineRule="atLeast"/>
        <w:rPr>
          <w:rFonts w:ascii="Arial" w:eastAsia="Times New Roman" w:hAnsi="Arial" w:cs="Arial"/>
          <w:color w:val="000000"/>
          <w:sz w:val="20"/>
          <w:szCs w:val="20"/>
        </w:rPr>
      </w:pPr>
      <w:r w:rsidRPr="000A1287">
        <w:rPr>
          <w:rFonts w:ascii="Arial" w:eastAsia="Times New Roman" w:hAnsi="Arial" w:cs="Arial"/>
          <w:color w:val="000000"/>
          <w:sz w:val="20"/>
          <w:szCs w:val="20"/>
        </w:rPr>
        <w:t>2)</w:t>
      </w:r>
      <w:r w:rsidRPr="000A1287">
        <w:rPr>
          <w:rFonts w:ascii="Arial" w:eastAsia="Times New Roman" w:hAnsi="Arial" w:cs="Arial"/>
          <w:color w:val="000000"/>
          <w:sz w:val="20"/>
        </w:rPr>
        <w:t> </w:t>
      </w:r>
      <w:r w:rsidRPr="000A1287">
        <w:rPr>
          <w:rFonts w:ascii="Arial" w:eastAsia="Times New Roman" w:hAnsi="Arial" w:cs="Arial"/>
          <w:b/>
          <w:bCs/>
          <w:color w:val="000000"/>
          <w:sz w:val="20"/>
        </w:rPr>
        <w:t>Save tax u/s 80C up to Rs 1</w:t>
      </w:r>
      <w:r w:rsidR="00BE584E">
        <w:rPr>
          <w:rFonts w:ascii="Arial" w:eastAsia="Times New Roman" w:hAnsi="Arial" w:cs="Arial"/>
          <w:b/>
          <w:bCs/>
          <w:color w:val="000000"/>
          <w:sz w:val="20"/>
        </w:rPr>
        <w:t>.5</w:t>
      </w:r>
      <w:r w:rsidRPr="000A1287">
        <w:rPr>
          <w:rFonts w:ascii="Arial" w:eastAsia="Times New Roman" w:hAnsi="Arial" w:cs="Arial"/>
          <w:b/>
          <w:bCs/>
          <w:color w:val="000000"/>
          <w:sz w:val="20"/>
        </w:rPr>
        <w:t xml:space="preserve"> </w:t>
      </w:r>
      <w:proofErr w:type="spellStart"/>
      <w:r w:rsidRPr="000A1287">
        <w:rPr>
          <w:rFonts w:ascii="Arial" w:eastAsia="Times New Roman" w:hAnsi="Arial" w:cs="Arial"/>
          <w:b/>
          <w:bCs/>
          <w:color w:val="000000"/>
          <w:sz w:val="20"/>
        </w:rPr>
        <w:t>Lakh</w:t>
      </w:r>
      <w:proofErr w:type="spellEnd"/>
      <w:r w:rsidRPr="000A1287">
        <w:rPr>
          <w:rFonts w:ascii="Arial" w:eastAsia="Times New Roman" w:hAnsi="Arial" w:cs="Arial"/>
          <w:b/>
          <w:bCs/>
          <w:color w:val="000000"/>
          <w:sz w:val="20"/>
        </w:rPr>
        <w:t>:</w:t>
      </w:r>
      <w:r w:rsidRPr="000A1287">
        <w:rPr>
          <w:rFonts w:ascii="Arial" w:eastAsia="Times New Roman" w:hAnsi="Arial" w:cs="Arial"/>
          <w:color w:val="000000"/>
          <w:sz w:val="20"/>
        </w:rPr>
        <w:t> </w:t>
      </w:r>
      <w:r w:rsidRPr="000A1287">
        <w:rPr>
          <w:rFonts w:ascii="Arial" w:eastAsia="Times New Roman" w:hAnsi="Arial" w:cs="Arial"/>
          <w:color w:val="000000"/>
          <w:sz w:val="20"/>
          <w:szCs w:val="20"/>
        </w:rPr>
        <w:t xml:space="preserve">By investment in ELSS mutual funds, you are eligible for tax exemption up to Rs 1 </w:t>
      </w:r>
      <w:proofErr w:type="spellStart"/>
      <w:r w:rsidRPr="000A1287">
        <w:rPr>
          <w:rFonts w:ascii="Arial" w:eastAsia="Times New Roman" w:hAnsi="Arial" w:cs="Arial"/>
          <w:color w:val="000000"/>
          <w:sz w:val="20"/>
          <w:szCs w:val="20"/>
        </w:rPr>
        <w:t>Lakh</w:t>
      </w:r>
      <w:proofErr w:type="spellEnd"/>
      <w:r w:rsidRPr="000A1287">
        <w:rPr>
          <w:rFonts w:ascii="Arial" w:eastAsia="Times New Roman" w:hAnsi="Arial" w:cs="Arial"/>
          <w:color w:val="000000"/>
          <w:sz w:val="20"/>
          <w:szCs w:val="20"/>
        </w:rPr>
        <w:t xml:space="preserve"> u/s 80C. If you have not utilized 80C fully, this is a good opportunity to invest in ELSS funds.</w:t>
      </w:r>
    </w:p>
    <w:p w:rsidR="000A1287" w:rsidRPr="000A1287" w:rsidRDefault="000A1287" w:rsidP="000A1287">
      <w:pPr>
        <w:spacing w:after="0" w:line="240" w:lineRule="auto"/>
        <w:rPr>
          <w:rFonts w:ascii="Times New Roman" w:eastAsia="Times New Roman" w:hAnsi="Times New Roman" w:cs="Times New Roman"/>
          <w:sz w:val="24"/>
          <w:szCs w:val="24"/>
        </w:rPr>
      </w:pPr>
      <w:r w:rsidRPr="000A1287">
        <w:rPr>
          <w:rFonts w:ascii="Arial" w:eastAsia="Times New Roman" w:hAnsi="Arial" w:cs="Arial"/>
          <w:color w:val="000000"/>
          <w:sz w:val="20"/>
          <w:szCs w:val="20"/>
        </w:rPr>
        <w:br/>
      </w:r>
    </w:p>
    <w:p w:rsidR="000A1287" w:rsidRPr="000A1287" w:rsidRDefault="000A1287" w:rsidP="000A1287">
      <w:pPr>
        <w:shd w:val="clear" w:color="auto" w:fill="FFFFFF"/>
        <w:spacing w:after="0" w:line="272" w:lineRule="atLeast"/>
        <w:rPr>
          <w:rFonts w:ascii="Arial" w:eastAsia="Times New Roman" w:hAnsi="Arial" w:cs="Arial"/>
          <w:color w:val="000000"/>
          <w:sz w:val="20"/>
          <w:szCs w:val="20"/>
        </w:rPr>
      </w:pPr>
      <w:r w:rsidRPr="000A1287">
        <w:rPr>
          <w:rFonts w:ascii="Arial" w:eastAsia="Times New Roman" w:hAnsi="Arial" w:cs="Arial"/>
          <w:color w:val="000000"/>
          <w:sz w:val="20"/>
          <w:szCs w:val="20"/>
        </w:rPr>
        <w:t>3)</w:t>
      </w:r>
      <w:r w:rsidRPr="000A1287">
        <w:rPr>
          <w:rFonts w:ascii="Arial" w:eastAsia="Times New Roman" w:hAnsi="Arial" w:cs="Arial"/>
          <w:color w:val="000000"/>
          <w:sz w:val="20"/>
        </w:rPr>
        <w:t> </w:t>
      </w:r>
      <w:r w:rsidRPr="000A1287">
        <w:rPr>
          <w:rFonts w:ascii="Arial" w:eastAsia="Times New Roman" w:hAnsi="Arial" w:cs="Arial"/>
          <w:b/>
          <w:bCs/>
          <w:color w:val="000000"/>
          <w:sz w:val="20"/>
        </w:rPr>
        <w:t>Lock-in period of 3 years:</w:t>
      </w:r>
      <w:r w:rsidRPr="000A1287">
        <w:rPr>
          <w:rFonts w:ascii="Arial" w:eastAsia="Times New Roman" w:hAnsi="Arial" w:cs="Arial"/>
          <w:color w:val="000000"/>
          <w:sz w:val="20"/>
        </w:rPr>
        <w:t> </w:t>
      </w:r>
      <w:r w:rsidRPr="000A1287">
        <w:rPr>
          <w:rFonts w:ascii="Arial" w:eastAsia="Times New Roman" w:hAnsi="Arial" w:cs="Arial"/>
          <w:color w:val="000000"/>
          <w:sz w:val="20"/>
          <w:szCs w:val="20"/>
        </w:rPr>
        <w:t>ELSS mutual funds come with lock-in period of 3 years. Generally, investors would get tempted to take out the money from any investment option as soon as they get some good returns. They would not wait for long term to enjoy long term benefits. Since ELSS MF’s come with a 3 year lock-in period, you are forced to keep your investment for a minimum of 3 years. This would help you to grow your money that considers market fluctuations.</w:t>
      </w:r>
    </w:p>
    <w:p w:rsidR="000A1287" w:rsidRPr="000A1287" w:rsidRDefault="000A1287" w:rsidP="000A1287">
      <w:pPr>
        <w:spacing w:after="0" w:line="240" w:lineRule="auto"/>
        <w:rPr>
          <w:rFonts w:ascii="Times New Roman" w:eastAsia="Times New Roman" w:hAnsi="Times New Roman" w:cs="Times New Roman"/>
          <w:sz w:val="24"/>
          <w:szCs w:val="24"/>
        </w:rPr>
      </w:pPr>
      <w:r w:rsidRPr="000A1287">
        <w:rPr>
          <w:rFonts w:ascii="Arial" w:eastAsia="Times New Roman" w:hAnsi="Arial" w:cs="Arial"/>
          <w:color w:val="000000"/>
          <w:sz w:val="20"/>
          <w:szCs w:val="20"/>
        </w:rPr>
        <w:br/>
      </w:r>
    </w:p>
    <w:p w:rsidR="000A1287" w:rsidRDefault="000A1287" w:rsidP="000A1287">
      <w:pPr>
        <w:shd w:val="clear" w:color="auto" w:fill="FFFFFF"/>
        <w:spacing w:after="0" w:line="272" w:lineRule="atLeast"/>
        <w:rPr>
          <w:rFonts w:ascii="Arial" w:eastAsia="Times New Roman" w:hAnsi="Arial" w:cs="Arial"/>
          <w:color w:val="000000"/>
          <w:sz w:val="20"/>
          <w:szCs w:val="20"/>
        </w:rPr>
      </w:pPr>
      <w:r w:rsidRPr="000A1287">
        <w:rPr>
          <w:rFonts w:ascii="Arial" w:eastAsia="Times New Roman" w:hAnsi="Arial" w:cs="Arial"/>
          <w:color w:val="000000"/>
          <w:sz w:val="20"/>
          <w:szCs w:val="20"/>
        </w:rPr>
        <w:t>4)</w:t>
      </w:r>
      <w:r w:rsidRPr="000A1287">
        <w:rPr>
          <w:rFonts w:ascii="Arial" w:eastAsia="Times New Roman" w:hAnsi="Arial" w:cs="Arial"/>
          <w:color w:val="000000"/>
          <w:sz w:val="20"/>
        </w:rPr>
        <w:t> </w:t>
      </w:r>
      <w:r w:rsidRPr="000A1287">
        <w:rPr>
          <w:rFonts w:ascii="Arial" w:eastAsia="Times New Roman" w:hAnsi="Arial" w:cs="Arial"/>
          <w:b/>
          <w:bCs/>
          <w:color w:val="000000"/>
          <w:sz w:val="20"/>
        </w:rPr>
        <w:t>ELSS returns are tax free:</w:t>
      </w:r>
      <w:r w:rsidRPr="000A1287">
        <w:rPr>
          <w:rFonts w:ascii="Arial" w:eastAsia="Times New Roman" w:hAnsi="Arial" w:cs="Arial"/>
          <w:color w:val="000000"/>
          <w:sz w:val="20"/>
        </w:rPr>
        <w:t> </w:t>
      </w:r>
      <w:r w:rsidRPr="000A1287">
        <w:rPr>
          <w:rFonts w:ascii="Arial" w:eastAsia="Times New Roman" w:hAnsi="Arial" w:cs="Arial"/>
          <w:color w:val="000000"/>
          <w:sz w:val="20"/>
          <w:szCs w:val="20"/>
        </w:rPr>
        <w:t xml:space="preserve">If you observe, none of the returns from tax saving investment options other than PPF are tax free. NSC, Tax Saving Bank FD, Tax saving Post office TD scheme etc. all these tax saving option returns are taxable based on individual tax slab. However, interest in Public Provident Fund </w:t>
      </w:r>
      <w:r w:rsidRPr="000A1287">
        <w:rPr>
          <w:rFonts w:ascii="Arial" w:eastAsia="Times New Roman" w:hAnsi="Arial" w:cs="Arial"/>
          <w:color w:val="000000"/>
          <w:sz w:val="20"/>
          <w:szCs w:val="20"/>
        </w:rPr>
        <w:lastRenderedPageBreak/>
        <w:t>is tax free, but that comes with a 15 year lock-in period (apart from certain exemptions to withdraw in between). The only tax saving investment option that provides tax free returns for short period is ELSS Mutual funds. Since ELSS mutual funds invest in equity related instruments, these are classified under equity funds. Any returns received from equity funds after 1 year is tax free, hence ELSS funds which comes with a 3 year lock-in period, dividends/returns/capital gains from such funds are also tax free.</w:t>
      </w:r>
    </w:p>
    <w:p w:rsidR="000A1287" w:rsidRDefault="000A1287" w:rsidP="000A1287">
      <w:pPr>
        <w:shd w:val="clear" w:color="auto" w:fill="FFFFFF"/>
        <w:spacing w:after="0" w:line="272" w:lineRule="atLeast"/>
        <w:rPr>
          <w:rFonts w:ascii="Arial" w:eastAsia="Times New Roman" w:hAnsi="Arial" w:cs="Arial"/>
          <w:color w:val="000000"/>
          <w:sz w:val="20"/>
          <w:szCs w:val="20"/>
        </w:rPr>
      </w:pPr>
    </w:p>
    <w:p w:rsidR="000A1287" w:rsidRPr="000A1287" w:rsidRDefault="000A1287" w:rsidP="000A1287">
      <w:pPr>
        <w:shd w:val="clear" w:color="auto" w:fill="FFFFFF"/>
        <w:spacing w:after="0" w:line="272" w:lineRule="atLeast"/>
        <w:rPr>
          <w:rFonts w:ascii="Arial" w:eastAsia="Times New Roman" w:hAnsi="Arial" w:cs="Arial"/>
          <w:color w:val="000000"/>
          <w:sz w:val="20"/>
          <w:szCs w:val="20"/>
        </w:rPr>
      </w:pPr>
      <w:r>
        <w:rPr>
          <w:rStyle w:val="Strong"/>
          <w:rFonts w:ascii="Arial" w:hAnsi="Arial" w:cs="Arial"/>
          <w:color w:val="000000"/>
          <w:sz w:val="23"/>
          <w:szCs w:val="23"/>
          <w:shd w:val="clear" w:color="auto" w:fill="FFFFFF"/>
        </w:rPr>
        <w:t>Are there any risks involved in investing in ELSS mutual funds?</w:t>
      </w:r>
      <w:r>
        <w:rPr>
          <w:rFonts w:ascii="Arial" w:hAnsi="Arial" w:cs="Arial"/>
          <w:color w:val="000000"/>
          <w:sz w:val="23"/>
          <w:szCs w:val="23"/>
        </w:rPr>
        <w:br/>
      </w:r>
      <w:r>
        <w:rPr>
          <w:rFonts w:ascii="Arial" w:hAnsi="Arial" w:cs="Arial"/>
          <w:color w:val="000000"/>
          <w:sz w:val="23"/>
          <w:szCs w:val="23"/>
          <w:shd w:val="clear" w:color="auto" w:fill="FFFFFF"/>
        </w:rPr>
        <w:t>Since these funds invest 65% in equity, there is some element of risk. Moderate risk and High risk investors can consider this as a tax saving investment option. Also the past performance may or may not repeat in future. Hence investors should consider this risk element and consider investing in such funds.</w:t>
      </w:r>
    </w:p>
    <w:p w:rsidR="000A1287" w:rsidRDefault="000A1287"/>
    <w:p w:rsidR="000A1287" w:rsidRPr="000A1287" w:rsidRDefault="000A1287" w:rsidP="000A1287">
      <w:pPr>
        <w:pStyle w:val="NormalWeb"/>
        <w:shd w:val="clear" w:color="auto" w:fill="FFFFFF"/>
        <w:spacing w:before="0" w:beforeAutospacing="0" w:after="0" w:afterAutospacing="0" w:line="273" w:lineRule="atLeast"/>
        <w:rPr>
          <w:rFonts w:ascii="Arial" w:hAnsi="Arial" w:cs="Arial"/>
          <w:color w:val="404040"/>
          <w:sz w:val="20"/>
          <w:szCs w:val="20"/>
        </w:rPr>
      </w:pPr>
      <w:r w:rsidRPr="000A1287">
        <w:rPr>
          <w:rStyle w:val="Strong"/>
          <w:rFonts w:ascii="Arial" w:hAnsi="Arial" w:cs="Arial"/>
          <w:color w:val="404040"/>
          <w:sz w:val="20"/>
          <w:szCs w:val="20"/>
          <w:bdr w:val="none" w:sz="0" w:space="0" w:color="auto" w:frame="1"/>
        </w:rPr>
        <w:t>How should you invest?</w:t>
      </w:r>
    </w:p>
    <w:p w:rsidR="000A1287" w:rsidRDefault="000A1287" w:rsidP="000A1287">
      <w:pPr>
        <w:pStyle w:val="NormalWeb"/>
        <w:shd w:val="clear" w:color="auto" w:fill="FFFFFF"/>
        <w:spacing w:before="0" w:beforeAutospacing="0" w:after="227" w:afterAutospacing="0" w:line="273" w:lineRule="atLeast"/>
        <w:rPr>
          <w:rFonts w:ascii="Arial" w:hAnsi="Arial" w:cs="Arial"/>
          <w:color w:val="404040"/>
          <w:sz w:val="20"/>
          <w:szCs w:val="20"/>
          <w:shd w:val="clear" w:color="auto" w:fill="FFFFFF"/>
        </w:rPr>
      </w:pPr>
      <w:r>
        <w:rPr>
          <w:rFonts w:ascii="Arial" w:hAnsi="Arial" w:cs="Arial"/>
          <w:color w:val="404040"/>
          <w:sz w:val="20"/>
          <w:szCs w:val="20"/>
        </w:rPr>
        <w:t>Unlike regular equity schemes, the ELSS funds have a lower investment threshold of Rs 500. You can invest a large amount at one go, but the best way to invest in equity-oriented instruments is through regular monthly driblets called SIPs.</w:t>
      </w:r>
      <w:r w:rsidRPr="000A1287">
        <w:rPr>
          <w:rFonts w:ascii="Arial" w:hAnsi="Arial" w:cs="Arial"/>
          <w:color w:val="404040"/>
          <w:sz w:val="20"/>
          <w:szCs w:val="20"/>
          <w:shd w:val="clear" w:color="auto" w:fill="FFFFFF"/>
        </w:rPr>
        <w:t xml:space="preserve"> </w:t>
      </w:r>
      <w:r>
        <w:rPr>
          <w:rFonts w:ascii="Arial" w:hAnsi="Arial" w:cs="Arial"/>
          <w:color w:val="404040"/>
          <w:sz w:val="20"/>
          <w:szCs w:val="20"/>
          <w:shd w:val="clear" w:color="auto" w:fill="FFFFFF"/>
        </w:rPr>
        <w:t xml:space="preserve">For instance, if you have Rs 30,000 to invest in ELSS funds this year, split them into three </w:t>
      </w:r>
      <w:proofErr w:type="spellStart"/>
      <w:r>
        <w:rPr>
          <w:rFonts w:ascii="Arial" w:hAnsi="Arial" w:cs="Arial"/>
          <w:color w:val="404040"/>
          <w:sz w:val="20"/>
          <w:szCs w:val="20"/>
          <w:shd w:val="clear" w:color="auto" w:fill="FFFFFF"/>
        </w:rPr>
        <w:t>instalments</w:t>
      </w:r>
      <w:proofErr w:type="spellEnd"/>
      <w:r>
        <w:rPr>
          <w:rFonts w:ascii="Arial" w:hAnsi="Arial" w:cs="Arial"/>
          <w:color w:val="404040"/>
          <w:sz w:val="20"/>
          <w:szCs w:val="20"/>
          <w:shd w:val="clear" w:color="auto" w:fill="FFFFFF"/>
        </w:rPr>
        <w:t xml:space="preserve"> between now and 31 March. This will curtail the risk significantly by averaging out your cost of purchase. To start an SIP, submit post-dated </w:t>
      </w:r>
      <w:proofErr w:type="spellStart"/>
      <w:r>
        <w:rPr>
          <w:rFonts w:ascii="Arial" w:hAnsi="Arial" w:cs="Arial"/>
          <w:color w:val="404040"/>
          <w:sz w:val="20"/>
          <w:szCs w:val="20"/>
          <w:shd w:val="clear" w:color="auto" w:fill="FFFFFF"/>
        </w:rPr>
        <w:t>cheques</w:t>
      </w:r>
      <w:proofErr w:type="spellEnd"/>
      <w:r>
        <w:rPr>
          <w:rFonts w:ascii="Arial" w:hAnsi="Arial" w:cs="Arial"/>
          <w:color w:val="404040"/>
          <w:sz w:val="20"/>
          <w:szCs w:val="20"/>
          <w:shd w:val="clear" w:color="auto" w:fill="FFFFFF"/>
        </w:rPr>
        <w:t xml:space="preserve"> or give an ECS mandate to your bank. The money will be automatically transferred to your mutual fund every month.</w:t>
      </w:r>
    </w:p>
    <w:p w:rsidR="000A1287" w:rsidRDefault="000A1287" w:rsidP="000A1287">
      <w:pPr>
        <w:pStyle w:val="NormalWeb"/>
        <w:shd w:val="clear" w:color="auto" w:fill="FFFFFF"/>
        <w:spacing w:before="0" w:beforeAutospacing="0" w:after="227" w:afterAutospacing="0" w:line="273" w:lineRule="atLeast"/>
        <w:rPr>
          <w:rFonts w:ascii="Arial" w:hAnsi="Arial" w:cs="Arial"/>
          <w:color w:val="404040"/>
          <w:sz w:val="20"/>
          <w:szCs w:val="20"/>
          <w:shd w:val="clear" w:color="auto" w:fill="FFFFFF"/>
        </w:rPr>
      </w:pPr>
    </w:p>
    <w:p w:rsidR="000A1287" w:rsidRPr="000A1287" w:rsidRDefault="000A1287" w:rsidP="000A1287">
      <w:pPr>
        <w:shd w:val="clear" w:color="auto" w:fill="ECECEC"/>
        <w:spacing w:after="0" w:line="240" w:lineRule="auto"/>
        <w:rPr>
          <w:rFonts w:ascii="Arial" w:eastAsia="Times New Roman" w:hAnsi="Arial" w:cs="Arial"/>
          <w:color w:val="696868"/>
          <w:sz w:val="20"/>
          <w:szCs w:val="20"/>
        </w:rPr>
      </w:pPr>
      <w:r w:rsidRPr="000A1287">
        <w:rPr>
          <w:rFonts w:ascii="Arial" w:eastAsia="Times New Roman" w:hAnsi="Arial" w:cs="Arial"/>
          <w:color w:val="696868"/>
          <w:sz w:val="20"/>
          <w:szCs w:val="20"/>
        </w:rPr>
        <w:t>When you invest in certain schemes like ELSS, PPF, certain Bank Fixed Deposits etc. you can claim up to Rs.1</w:t>
      </w:r>
      <w:proofErr w:type="gramStart"/>
      <w:r w:rsidRPr="000A1287">
        <w:rPr>
          <w:rFonts w:ascii="Arial" w:eastAsia="Times New Roman" w:hAnsi="Arial" w:cs="Arial"/>
          <w:color w:val="696868"/>
          <w:sz w:val="20"/>
          <w:szCs w:val="20"/>
        </w:rPr>
        <w:t>,00,000</w:t>
      </w:r>
      <w:proofErr w:type="gramEnd"/>
      <w:r w:rsidRPr="000A1287">
        <w:rPr>
          <w:rFonts w:ascii="Arial" w:eastAsia="Times New Roman" w:hAnsi="Arial" w:cs="Arial"/>
          <w:color w:val="696868"/>
          <w:sz w:val="20"/>
          <w:szCs w:val="20"/>
        </w:rPr>
        <w:t xml:space="preserve"> as a deduction from your gross total income in a financial year under Sec 80C of the Indian Income Tax Act, 1961. The Table below will help further explain the how this works –</w:t>
      </w:r>
    </w:p>
    <w:tbl>
      <w:tblPr>
        <w:tblW w:w="11710" w:type="dxa"/>
        <w:tblCellSpacing w:w="15" w:type="dxa"/>
        <w:shd w:val="clear" w:color="auto" w:fill="ECECEC"/>
        <w:tblCellMar>
          <w:left w:w="0" w:type="dxa"/>
          <w:right w:w="0" w:type="dxa"/>
        </w:tblCellMar>
        <w:tblLook w:val="04A0"/>
      </w:tblPr>
      <w:tblGrid>
        <w:gridCol w:w="2736"/>
        <w:gridCol w:w="4667"/>
        <w:gridCol w:w="4307"/>
      </w:tblGrid>
      <w:tr w:rsidR="000A1287" w:rsidRPr="000A1287" w:rsidTr="000A1287">
        <w:trPr>
          <w:tblCellSpacing w:w="15" w:type="dxa"/>
        </w:trPr>
        <w:tc>
          <w:tcPr>
            <w:tcW w:w="0" w:type="auto"/>
            <w:shd w:val="clear" w:color="auto" w:fill="434343"/>
            <w:vAlign w:val="center"/>
            <w:hideMark/>
          </w:tcPr>
          <w:p w:rsidR="000A1287" w:rsidRPr="000A1287" w:rsidRDefault="000A1287" w:rsidP="000A1287">
            <w:pPr>
              <w:spacing w:after="0" w:line="475" w:lineRule="atLeast"/>
              <w:jc w:val="center"/>
              <w:rPr>
                <w:rFonts w:ascii="Arial" w:eastAsia="Times New Roman" w:hAnsi="Arial" w:cs="Arial"/>
                <w:b/>
                <w:bCs/>
                <w:color w:val="FFFFFF"/>
                <w:sz w:val="20"/>
                <w:szCs w:val="20"/>
              </w:rPr>
            </w:pPr>
            <w:r w:rsidRPr="000A1287">
              <w:rPr>
                <w:rFonts w:ascii="Arial" w:eastAsia="Times New Roman" w:hAnsi="Arial" w:cs="Arial"/>
                <w:b/>
                <w:bCs/>
                <w:color w:val="FFFFFF"/>
                <w:sz w:val="20"/>
                <w:szCs w:val="20"/>
              </w:rPr>
              <w:t>Particulars</w:t>
            </w:r>
          </w:p>
        </w:tc>
        <w:tc>
          <w:tcPr>
            <w:tcW w:w="0" w:type="auto"/>
            <w:shd w:val="clear" w:color="auto" w:fill="434343"/>
            <w:vAlign w:val="center"/>
            <w:hideMark/>
          </w:tcPr>
          <w:p w:rsidR="000A1287" w:rsidRPr="000A1287" w:rsidRDefault="000A1287" w:rsidP="000A1287">
            <w:pPr>
              <w:spacing w:after="0" w:line="475" w:lineRule="atLeast"/>
              <w:jc w:val="center"/>
              <w:rPr>
                <w:rFonts w:ascii="Arial" w:eastAsia="Times New Roman" w:hAnsi="Arial" w:cs="Arial"/>
                <w:b/>
                <w:bCs/>
                <w:color w:val="FFFFFF"/>
                <w:sz w:val="20"/>
                <w:szCs w:val="20"/>
              </w:rPr>
            </w:pPr>
            <w:r w:rsidRPr="000A1287">
              <w:rPr>
                <w:rFonts w:ascii="Arial" w:eastAsia="Times New Roman" w:hAnsi="Arial" w:cs="Arial"/>
                <w:b/>
                <w:bCs/>
                <w:color w:val="FFFFFF"/>
                <w:sz w:val="20"/>
                <w:szCs w:val="20"/>
              </w:rPr>
              <w:t>Without Tax Saving Investments u/s 80C</w:t>
            </w:r>
          </w:p>
        </w:tc>
        <w:tc>
          <w:tcPr>
            <w:tcW w:w="0" w:type="auto"/>
            <w:shd w:val="clear" w:color="auto" w:fill="434343"/>
            <w:vAlign w:val="center"/>
            <w:hideMark/>
          </w:tcPr>
          <w:p w:rsidR="000A1287" w:rsidRPr="000A1287" w:rsidRDefault="000A1287" w:rsidP="000A1287">
            <w:pPr>
              <w:spacing w:after="0" w:line="475" w:lineRule="atLeast"/>
              <w:jc w:val="center"/>
              <w:rPr>
                <w:rFonts w:ascii="Arial" w:eastAsia="Times New Roman" w:hAnsi="Arial" w:cs="Arial"/>
                <w:b/>
                <w:bCs/>
                <w:color w:val="FFFFFF"/>
                <w:sz w:val="20"/>
                <w:szCs w:val="20"/>
              </w:rPr>
            </w:pPr>
            <w:r w:rsidRPr="000A1287">
              <w:rPr>
                <w:rFonts w:ascii="Arial" w:eastAsia="Times New Roman" w:hAnsi="Arial" w:cs="Arial"/>
                <w:b/>
                <w:bCs/>
                <w:color w:val="FFFFFF"/>
                <w:sz w:val="20"/>
                <w:szCs w:val="20"/>
              </w:rPr>
              <w:t>With Tax Saving Investments u/s 80C</w:t>
            </w:r>
          </w:p>
        </w:tc>
      </w:tr>
      <w:tr w:rsidR="000A1287" w:rsidRPr="000A1287" w:rsidTr="000A1287">
        <w:trPr>
          <w:tblCellSpacing w:w="15" w:type="dxa"/>
        </w:trPr>
        <w:tc>
          <w:tcPr>
            <w:tcW w:w="0" w:type="auto"/>
            <w:shd w:val="clear" w:color="auto" w:fill="CDCDCD"/>
            <w:tcMar>
              <w:top w:w="0" w:type="dxa"/>
              <w:left w:w="408" w:type="dxa"/>
              <w:bottom w:w="0" w:type="dxa"/>
              <w:right w:w="0" w:type="dxa"/>
            </w:tcMar>
            <w:vAlign w:val="center"/>
            <w:hideMark/>
          </w:tcPr>
          <w:p w:rsidR="000A1287" w:rsidRPr="000A1287" w:rsidRDefault="000A1287" w:rsidP="000A1287">
            <w:pPr>
              <w:spacing w:after="0" w:line="475" w:lineRule="atLeast"/>
              <w:rPr>
                <w:rFonts w:ascii="Arial" w:eastAsia="Times New Roman" w:hAnsi="Arial" w:cs="Arial"/>
                <w:color w:val="434343"/>
                <w:sz w:val="20"/>
                <w:szCs w:val="20"/>
              </w:rPr>
            </w:pPr>
            <w:r w:rsidRPr="000A1287">
              <w:rPr>
                <w:rFonts w:ascii="Arial" w:eastAsia="Times New Roman" w:hAnsi="Arial" w:cs="Arial"/>
                <w:color w:val="434343"/>
                <w:sz w:val="20"/>
                <w:szCs w:val="20"/>
              </w:rPr>
              <w:t>Gross Total Income</w:t>
            </w:r>
          </w:p>
        </w:tc>
        <w:tc>
          <w:tcPr>
            <w:tcW w:w="0" w:type="auto"/>
            <w:shd w:val="clear" w:color="auto" w:fill="CDCDCD"/>
            <w:tcMar>
              <w:top w:w="0" w:type="dxa"/>
              <w:left w:w="408" w:type="dxa"/>
              <w:bottom w:w="0" w:type="dxa"/>
              <w:right w:w="0" w:type="dxa"/>
            </w:tcMar>
            <w:vAlign w:val="center"/>
            <w:hideMark/>
          </w:tcPr>
          <w:p w:rsidR="000A1287" w:rsidRPr="000A1287" w:rsidRDefault="000A1287" w:rsidP="000A1287">
            <w:pPr>
              <w:spacing w:after="0" w:line="475" w:lineRule="atLeast"/>
              <w:rPr>
                <w:rFonts w:ascii="Arial" w:eastAsia="Times New Roman" w:hAnsi="Arial" w:cs="Arial"/>
                <w:color w:val="434343"/>
                <w:sz w:val="20"/>
                <w:szCs w:val="20"/>
              </w:rPr>
            </w:pPr>
            <w:r w:rsidRPr="000A1287">
              <w:rPr>
                <w:rFonts w:ascii="Arial" w:eastAsia="Times New Roman" w:hAnsi="Arial" w:cs="Arial"/>
                <w:color w:val="434343"/>
                <w:sz w:val="20"/>
                <w:szCs w:val="20"/>
              </w:rPr>
              <w:t>Rs.7,50,000</w:t>
            </w:r>
          </w:p>
        </w:tc>
        <w:tc>
          <w:tcPr>
            <w:tcW w:w="0" w:type="auto"/>
            <w:shd w:val="clear" w:color="auto" w:fill="CDCDCD"/>
            <w:tcMar>
              <w:top w:w="0" w:type="dxa"/>
              <w:left w:w="408" w:type="dxa"/>
              <w:bottom w:w="0" w:type="dxa"/>
              <w:right w:w="0" w:type="dxa"/>
            </w:tcMar>
            <w:vAlign w:val="center"/>
            <w:hideMark/>
          </w:tcPr>
          <w:p w:rsidR="000A1287" w:rsidRPr="000A1287" w:rsidRDefault="000A1287" w:rsidP="000A1287">
            <w:pPr>
              <w:spacing w:after="0" w:line="475" w:lineRule="atLeast"/>
              <w:rPr>
                <w:rFonts w:ascii="Arial" w:eastAsia="Times New Roman" w:hAnsi="Arial" w:cs="Arial"/>
                <w:color w:val="434343"/>
                <w:sz w:val="20"/>
                <w:szCs w:val="20"/>
              </w:rPr>
            </w:pPr>
            <w:r w:rsidRPr="000A1287">
              <w:rPr>
                <w:rFonts w:ascii="Arial" w:eastAsia="Times New Roman" w:hAnsi="Arial" w:cs="Arial"/>
                <w:color w:val="434343"/>
                <w:sz w:val="20"/>
                <w:szCs w:val="20"/>
              </w:rPr>
              <w:t>Rs.7,50,000</w:t>
            </w:r>
          </w:p>
        </w:tc>
      </w:tr>
      <w:tr w:rsidR="000A1287" w:rsidRPr="000A1287" w:rsidTr="000A1287">
        <w:trPr>
          <w:tblCellSpacing w:w="15" w:type="dxa"/>
        </w:trPr>
        <w:tc>
          <w:tcPr>
            <w:tcW w:w="0" w:type="auto"/>
            <w:shd w:val="clear" w:color="auto" w:fill="CDCDCD"/>
            <w:tcMar>
              <w:top w:w="0" w:type="dxa"/>
              <w:left w:w="408" w:type="dxa"/>
              <w:bottom w:w="0" w:type="dxa"/>
              <w:right w:w="0" w:type="dxa"/>
            </w:tcMar>
            <w:vAlign w:val="center"/>
            <w:hideMark/>
          </w:tcPr>
          <w:p w:rsidR="000A1287" w:rsidRPr="000A1287" w:rsidRDefault="000A1287" w:rsidP="000A1287">
            <w:pPr>
              <w:spacing w:after="0" w:line="475" w:lineRule="atLeast"/>
              <w:rPr>
                <w:rFonts w:ascii="Arial" w:eastAsia="Times New Roman" w:hAnsi="Arial" w:cs="Arial"/>
                <w:color w:val="434343"/>
                <w:sz w:val="20"/>
                <w:szCs w:val="20"/>
              </w:rPr>
            </w:pPr>
            <w:r w:rsidRPr="000A1287">
              <w:rPr>
                <w:rFonts w:ascii="Arial" w:eastAsia="Times New Roman" w:hAnsi="Arial" w:cs="Arial"/>
                <w:color w:val="434343"/>
                <w:sz w:val="20"/>
                <w:szCs w:val="20"/>
              </w:rPr>
              <w:t>Exemption u/s 80C</w:t>
            </w:r>
          </w:p>
        </w:tc>
        <w:tc>
          <w:tcPr>
            <w:tcW w:w="0" w:type="auto"/>
            <w:shd w:val="clear" w:color="auto" w:fill="CDCDCD"/>
            <w:tcMar>
              <w:top w:w="0" w:type="dxa"/>
              <w:left w:w="408" w:type="dxa"/>
              <w:bottom w:w="0" w:type="dxa"/>
              <w:right w:w="0" w:type="dxa"/>
            </w:tcMar>
            <w:vAlign w:val="center"/>
            <w:hideMark/>
          </w:tcPr>
          <w:p w:rsidR="000A1287" w:rsidRPr="000A1287" w:rsidRDefault="000A1287" w:rsidP="000A1287">
            <w:pPr>
              <w:spacing w:after="0" w:line="475" w:lineRule="atLeast"/>
              <w:rPr>
                <w:rFonts w:ascii="Arial" w:eastAsia="Times New Roman" w:hAnsi="Arial" w:cs="Arial"/>
                <w:color w:val="434343"/>
                <w:sz w:val="20"/>
                <w:szCs w:val="20"/>
              </w:rPr>
            </w:pPr>
            <w:r w:rsidRPr="000A1287">
              <w:rPr>
                <w:rFonts w:ascii="Arial" w:eastAsia="Times New Roman" w:hAnsi="Arial" w:cs="Arial"/>
                <w:color w:val="434343"/>
                <w:sz w:val="20"/>
                <w:szCs w:val="20"/>
              </w:rPr>
              <w:t>Nil</w:t>
            </w:r>
          </w:p>
        </w:tc>
        <w:tc>
          <w:tcPr>
            <w:tcW w:w="0" w:type="auto"/>
            <w:shd w:val="clear" w:color="auto" w:fill="CDCDCD"/>
            <w:tcMar>
              <w:top w:w="0" w:type="dxa"/>
              <w:left w:w="408" w:type="dxa"/>
              <w:bottom w:w="0" w:type="dxa"/>
              <w:right w:w="0" w:type="dxa"/>
            </w:tcMar>
            <w:vAlign w:val="center"/>
            <w:hideMark/>
          </w:tcPr>
          <w:p w:rsidR="000A1287" w:rsidRPr="000A1287" w:rsidRDefault="000A1287" w:rsidP="000A1287">
            <w:pPr>
              <w:spacing w:after="0" w:line="475" w:lineRule="atLeast"/>
              <w:rPr>
                <w:rFonts w:ascii="Arial" w:eastAsia="Times New Roman" w:hAnsi="Arial" w:cs="Arial"/>
                <w:color w:val="434343"/>
                <w:sz w:val="20"/>
                <w:szCs w:val="20"/>
              </w:rPr>
            </w:pPr>
            <w:r w:rsidRPr="000A1287">
              <w:rPr>
                <w:rFonts w:ascii="Arial" w:eastAsia="Times New Roman" w:hAnsi="Arial" w:cs="Arial"/>
                <w:color w:val="434343"/>
                <w:sz w:val="20"/>
                <w:szCs w:val="20"/>
              </w:rPr>
              <w:t>Rs.1,00,000</w:t>
            </w:r>
          </w:p>
        </w:tc>
      </w:tr>
      <w:tr w:rsidR="000A1287" w:rsidRPr="000A1287" w:rsidTr="000A1287">
        <w:trPr>
          <w:tblCellSpacing w:w="15" w:type="dxa"/>
        </w:trPr>
        <w:tc>
          <w:tcPr>
            <w:tcW w:w="0" w:type="auto"/>
            <w:shd w:val="clear" w:color="auto" w:fill="CDCDCD"/>
            <w:tcMar>
              <w:top w:w="0" w:type="dxa"/>
              <w:left w:w="408" w:type="dxa"/>
              <w:bottom w:w="0" w:type="dxa"/>
              <w:right w:w="0" w:type="dxa"/>
            </w:tcMar>
            <w:vAlign w:val="center"/>
            <w:hideMark/>
          </w:tcPr>
          <w:p w:rsidR="000A1287" w:rsidRPr="000A1287" w:rsidRDefault="000A1287" w:rsidP="000A1287">
            <w:pPr>
              <w:spacing w:after="0" w:line="475" w:lineRule="atLeast"/>
              <w:rPr>
                <w:rFonts w:ascii="Arial" w:eastAsia="Times New Roman" w:hAnsi="Arial" w:cs="Arial"/>
                <w:color w:val="434343"/>
                <w:sz w:val="20"/>
                <w:szCs w:val="20"/>
              </w:rPr>
            </w:pPr>
            <w:r w:rsidRPr="000A1287">
              <w:rPr>
                <w:rFonts w:ascii="Arial" w:eastAsia="Times New Roman" w:hAnsi="Arial" w:cs="Arial"/>
                <w:color w:val="434343"/>
                <w:sz w:val="20"/>
                <w:szCs w:val="20"/>
              </w:rPr>
              <w:t>Total Income</w:t>
            </w:r>
          </w:p>
        </w:tc>
        <w:tc>
          <w:tcPr>
            <w:tcW w:w="0" w:type="auto"/>
            <w:shd w:val="clear" w:color="auto" w:fill="CDCDCD"/>
            <w:tcMar>
              <w:top w:w="0" w:type="dxa"/>
              <w:left w:w="408" w:type="dxa"/>
              <w:bottom w:w="0" w:type="dxa"/>
              <w:right w:w="0" w:type="dxa"/>
            </w:tcMar>
            <w:vAlign w:val="center"/>
            <w:hideMark/>
          </w:tcPr>
          <w:p w:rsidR="000A1287" w:rsidRPr="000A1287" w:rsidRDefault="000A1287" w:rsidP="000A1287">
            <w:pPr>
              <w:spacing w:after="0" w:line="475" w:lineRule="atLeast"/>
              <w:rPr>
                <w:rFonts w:ascii="Arial" w:eastAsia="Times New Roman" w:hAnsi="Arial" w:cs="Arial"/>
                <w:color w:val="434343"/>
                <w:sz w:val="20"/>
                <w:szCs w:val="20"/>
              </w:rPr>
            </w:pPr>
            <w:r w:rsidRPr="000A1287">
              <w:rPr>
                <w:rFonts w:ascii="Arial" w:eastAsia="Times New Roman" w:hAnsi="Arial" w:cs="Arial"/>
                <w:color w:val="434343"/>
                <w:sz w:val="20"/>
                <w:szCs w:val="20"/>
              </w:rPr>
              <w:t>Rs.7,50,000</w:t>
            </w:r>
          </w:p>
        </w:tc>
        <w:tc>
          <w:tcPr>
            <w:tcW w:w="0" w:type="auto"/>
            <w:shd w:val="clear" w:color="auto" w:fill="CDCDCD"/>
            <w:tcMar>
              <w:top w:w="0" w:type="dxa"/>
              <w:left w:w="408" w:type="dxa"/>
              <w:bottom w:w="0" w:type="dxa"/>
              <w:right w:w="0" w:type="dxa"/>
            </w:tcMar>
            <w:vAlign w:val="center"/>
            <w:hideMark/>
          </w:tcPr>
          <w:p w:rsidR="000A1287" w:rsidRPr="000A1287" w:rsidRDefault="000A1287" w:rsidP="000A1287">
            <w:pPr>
              <w:spacing w:after="0" w:line="475" w:lineRule="atLeast"/>
              <w:rPr>
                <w:rFonts w:ascii="Arial" w:eastAsia="Times New Roman" w:hAnsi="Arial" w:cs="Arial"/>
                <w:color w:val="434343"/>
                <w:sz w:val="20"/>
                <w:szCs w:val="20"/>
              </w:rPr>
            </w:pPr>
            <w:r w:rsidRPr="000A1287">
              <w:rPr>
                <w:rFonts w:ascii="Arial" w:eastAsia="Times New Roman" w:hAnsi="Arial" w:cs="Arial"/>
                <w:color w:val="434343"/>
                <w:sz w:val="20"/>
                <w:szCs w:val="20"/>
              </w:rPr>
              <w:t>Rs.6,50,000</w:t>
            </w:r>
          </w:p>
        </w:tc>
      </w:tr>
      <w:tr w:rsidR="000A1287" w:rsidRPr="000A1287" w:rsidTr="000A1287">
        <w:trPr>
          <w:tblCellSpacing w:w="15" w:type="dxa"/>
        </w:trPr>
        <w:tc>
          <w:tcPr>
            <w:tcW w:w="0" w:type="auto"/>
            <w:shd w:val="clear" w:color="auto" w:fill="CDCDCD"/>
            <w:tcMar>
              <w:top w:w="0" w:type="dxa"/>
              <w:left w:w="408" w:type="dxa"/>
              <w:bottom w:w="0" w:type="dxa"/>
              <w:right w:w="0" w:type="dxa"/>
            </w:tcMar>
            <w:vAlign w:val="center"/>
            <w:hideMark/>
          </w:tcPr>
          <w:p w:rsidR="000A1287" w:rsidRPr="000A1287" w:rsidRDefault="000A1287" w:rsidP="000A1287">
            <w:pPr>
              <w:spacing w:after="0" w:line="475" w:lineRule="atLeast"/>
              <w:rPr>
                <w:rFonts w:ascii="Arial" w:eastAsia="Times New Roman" w:hAnsi="Arial" w:cs="Arial"/>
                <w:color w:val="434343"/>
                <w:sz w:val="20"/>
                <w:szCs w:val="20"/>
              </w:rPr>
            </w:pPr>
            <w:r w:rsidRPr="000A1287">
              <w:rPr>
                <w:rFonts w:ascii="Arial" w:eastAsia="Times New Roman" w:hAnsi="Arial" w:cs="Arial"/>
                <w:color w:val="434343"/>
                <w:sz w:val="20"/>
                <w:szCs w:val="20"/>
              </w:rPr>
              <w:t>Tax on Total Income</w:t>
            </w:r>
          </w:p>
        </w:tc>
        <w:tc>
          <w:tcPr>
            <w:tcW w:w="0" w:type="auto"/>
            <w:shd w:val="clear" w:color="auto" w:fill="CDCDCD"/>
            <w:tcMar>
              <w:top w:w="0" w:type="dxa"/>
              <w:left w:w="408" w:type="dxa"/>
              <w:bottom w:w="0" w:type="dxa"/>
              <w:right w:w="0" w:type="dxa"/>
            </w:tcMar>
            <w:vAlign w:val="center"/>
            <w:hideMark/>
          </w:tcPr>
          <w:p w:rsidR="000A1287" w:rsidRPr="000A1287" w:rsidRDefault="000A1287" w:rsidP="000A1287">
            <w:pPr>
              <w:spacing w:after="0" w:line="475" w:lineRule="atLeast"/>
              <w:rPr>
                <w:rFonts w:ascii="Arial" w:eastAsia="Times New Roman" w:hAnsi="Arial" w:cs="Arial"/>
                <w:color w:val="434343"/>
                <w:sz w:val="20"/>
                <w:szCs w:val="20"/>
              </w:rPr>
            </w:pPr>
            <w:r w:rsidRPr="000A1287">
              <w:rPr>
                <w:rFonts w:ascii="Arial" w:eastAsia="Times New Roman" w:hAnsi="Arial" w:cs="Arial"/>
                <w:color w:val="434343"/>
                <w:sz w:val="20"/>
                <w:szCs w:val="20"/>
              </w:rPr>
              <w:t>Rs.80,000</w:t>
            </w:r>
          </w:p>
        </w:tc>
        <w:tc>
          <w:tcPr>
            <w:tcW w:w="0" w:type="auto"/>
            <w:shd w:val="clear" w:color="auto" w:fill="CDCDCD"/>
            <w:tcMar>
              <w:top w:w="0" w:type="dxa"/>
              <w:left w:w="408" w:type="dxa"/>
              <w:bottom w:w="0" w:type="dxa"/>
              <w:right w:w="0" w:type="dxa"/>
            </w:tcMar>
            <w:vAlign w:val="center"/>
            <w:hideMark/>
          </w:tcPr>
          <w:p w:rsidR="000A1287" w:rsidRPr="000A1287" w:rsidRDefault="000A1287" w:rsidP="000A1287">
            <w:pPr>
              <w:spacing w:after="0" w:line="475" w:lineRule="atLeast"/>
              <w:rPr>
                <w:rFonts w:ascii="Arial" w:eastAsia="Times New Roman" w:hAnsi="Arial" w:cs="Arial"/>
                <w:color w:val="434343"/>
                <w:sz w:val="20"/>
                <w:szCs w:val="20"/>
              </w:rPr>
            </w:pPr>
            <w:r w:rsidRPr="000A1287">
              <w:rPr>
                <w:rFonts w:ascii="Arial" w:eastAsia="Times New Roman" w:hAnsi="Arial" w:cs="Arial"/>
                <w:color w:val="434343"/>
                <w:sz w:val="20"/>
                <w:szCs w:val="20"/>
              </w:rPr>
              <w:t>Rs.60,000</w:t>
            </w:r>
          </w:p>
        </w:tc>
      </w:tr>
      <w:tr w:rsidR="000A1287" w:rsidRPr="000A1287" w:rsidTr="000A1287">
        <w:trPr>
          <w:tblCellSpacing w:w="15" w:type="dxa"/>
        </w:trPr>
        <w:tc>
          <w:tcPr>
            <w:tcW w:w="0" w:type="auto"/>
            <w:shd w:val="clear" w:color="auto" w:fill="B6B6B6"/>
            <w:tcMar>
              <w:top w:w="0" w:type="dxa"/>
              <w:left w:w="408" w:type="dxa"/>
              <w:bottom w:w="0" w:type="dxa"/>
              <w:right w:w="0" w:type="dxa"/>
            </w:tcMar>
            <w:vAlign w:val="center"/>
            <w:hideMark/>
          </w:tcPr>
          <w:p w:rsidR="000A1287" w:rsidRPr="000A1287" w:rsidRDefault="000A1287" w:rsidP="000A1287">
            <w:pPr>
              <w:spacing w:after="0" w:line="475" w:lineRule="atLeast"/>
              <w:rPr>
                <w:rFonts w:ascii="Arial" w:eastAsia="Times New Roman" w:hAnsi="Arial" w:cs="Arial"/>
                <w:b/>
                <w:bCs/>
                <w:color w:val="434343"/>
                <w:sz w:val="20"/>
                <w:szCs w:val="20"/>
              </w:rPr>
            </w:pPr>
            <w:r w:rsidRPr="000A1287">
              <w:rPr>
                <w:rFonts w:ascii="Arial" w:eastAsia="Times New Roman" w:hAnsi="Arial" w:cs="Arial"/>
                <w:b/>
                <w:bCs/>
                <w:color w:val="434343"/>
                <w:sz w:val="20"/>
                <w:szCs w:val="20"/>
              </w:rPr>
              <w:t>Tax saved</w:t>
            </w:r>
          </w:p>
        </w:tc>
        <w:tc>
          <w:tcPr>
            <w:tcW w:w="0" w:type="auto"/>
            <w:shd w:val="clear" w:color="auto" w:fill="B6B6B6"/>
            <w:tcMar>
              <w:top w:w="0" w:type="dxa"/>
              <w:left w:w="408" w:type="dxa"/>
              <w:bottom w:w="0" w:type="dxa"/>
              <w:right w:w="0" w:type="dxa"/>
            </w:tcMar>
            <w:vAlign w:val="center"/>
            <w:hideMark/>
          </w:tcPr>
          <w:p w:rsidR="000A1287" w:rsidRPr="000A1287" w:rsidRDefault="000A1287" w:rsidP="000A1287">
            <w:pPr>
              <w:spacing w:after="0" w:line="475" w:lineRule="atLeast"/>
              <w:rPr>
                <w:rFonts w:ascii="Arial" w:eastAsia="Times New Roman" w:hAnsi="Arial" w:cs="Arial"/>
                <w:b/>
                <w:bCs/>
                <w:color w:val="434343"/>
                <w:sz w:val="20"/>
                <w:szCs w:val="20"/>
              </w:rPr>
            </w:pPr>
            <w:r w:rsidRPr="000A1287">
              <w:rPr>
                <w:rFonts w:ascii="Arial" w:eastAsia="Times New Roman" w:hAnsi="Arial" w:cs="Arial"/>
                <w:b/>
                <w:bCs/>
                <w:color w:val="434343"/>
                <w:sz w:val="20"/>
                <w:szCs w:val="20"/>
              </w:rPr>
              <w:t>Nil</w:t>
            </w:r>
          </w:p>
        </w:tc>
        <w:tc>
          <w:tcPr>
            <w:tcW w:w="0" w:type="auto"/>
            <w:shd w:val="clear" w:color="auto" w:fill="B6B6B6"/>
            <w:tcMar>
              <w:top w:w="0" w:type="dxa"/>
              <w:left w:w="408" w:type="dxa"/>
              <w:bottom w:w="0" w:type="dxa"/>
              <w:right w:w="0" w:type="dxa"/>
            </w:tcMar>
            <w:vAlign w:val="center"/>
            <w:hideMark/>
          </w:tcPr>
          <w:p w:rsidR="000A1287" w:rsidRPr="000A1287" w:rsidRDefault="000A1287" w:rsidP="000A1287">
            <w:pPr>
              <w:spacing w:after="0" w:line="475" w:lineRule="atLeast"/>
              <w:rPr>
                <w:rFonts w:ascii="Arial" w:eastAsia="Times New Roman" w:hAnsi="Arial" w:cs="Arial"/>
                <w:b/>
                <w:bCs/>
                <w:color w:val="434343"/>
                <w:sz w:val="20"/>
                <w:szCs w:val="20"/>
              </w:rPr>
            </w:pPr>
            <w:r w:rsidRPr="000A1287">
              <w:rPr>
                <w:rFonts w:ascii="Arial" w:eastAsia="Times New Roman" w:hAnsi="Arial" w:cs="Arial"/>
                <w:b/>
                <w:bCs/>
                <w:color w:val="434343"/>
                <w:sz w:val="20"/>
                <w:szCs w:val="20"/>
              </w:rPr>
              <w:t>Rs.20,000</w:t>
            </w:r>
          </w:p>
        </w:tc>
      </w:tr>
    </w:tbl>
    <w:p w:rsidR="000A1287" w:rsidRDefault="000A1287" w:rsidP="000A1287">
      <w:pPr>
        <w:shd w:val="clear" w:color="auto" w:fill="ECECEC"/>
        <w:spacing w:after="0" w:line="240" w:lineRule="auto"/>
        <w:rPr>
          <w:rFonts w:ascii="Arial" w:eastAsia="Times New Roman" w:hAnsi="Arial" w:cs="Arial"/>
          <w:i/>
          <w:iCs/>
          <w:color w:val="696868"/>
          <w:sz w:val="18"/>
        </w:rPr>
      </w:pPr>
      <w:r w:rsidRPr="000A1287">
        <w:rPr>
          <w:rFonts w:ascii="Arial" w:eastAsia="Times New Roman" w:hAnsi="Arial" w:cs="Arial"/>
          <w:i/>
          <w:iCs/>
          <w:color w:val="696868"/>
          <w:sz w:val="18"/>
        </w:rPr>
        <w:t xml:space="preserve">The Illustration above highlights the Tax exemptions for a Salaried Individual </w:t>
      </w:r>
      <w:proofErr w:type="gramStart"/>
      <w:r w:rsidRPr="000A1287">
        <w:rPr>
          <w:rFonts w:ascii="Arial" w:eastAsia="Times New Roman" w:hAnsi="Arial" w:cs="Arial"/>
          <w:i/>
          <w:iCs/>
          <w:color w:val="696868"/>
          <w:sz w:val="18"/>
        </w:rPr>
        <w:t>under</w:t>
      </w:r>
      <w:proofErr w:type="gramEnd"/>
      <w:r w:rsidRPr="000A1287">
        <w:rPr>
          <w:rFonts w:ascii="Arial" w:eastAsia="Times New Roman" w:hAnsi="Arial" w:cs="Arial"/>
          <w:i/>
          <w:iCs/>
          <w:color w:val="696868"/>
          <w:sz w:val="18"/>
        </w:rPr>
        <w:t xml:space="preserve"> 60 years of age for the Financial Year 2013-14. This would differ for people under different income brackets. Please consult your Financial Advisor to know your eligibility.</w:t>
      </w:r>
    </w:p>
    <w:p w:rsidR="000A1287" w:rsidRPr="000A1287" w:rsidRDefault="000A1287" w:rsidP="000A1287">
      <w:pPr>
        <w:shd w:val="clear" w:color="auto" w:fill="ECECEC"/>
        <w:spacing w:after="0" w:line="240" w:lineRule="auto"/>
        <w:rPr>
          <w:rFonts w:ascii="Arial" w:eastAsia="Times New Roman" w:hAnsi="Arial" w:cs="Arial"/>
          <w:color w:val="696868"/>
          <w:sz w:val="18"/>
          <w:szCs w:val="18"/>
        </w:rPr>
      </w:pPr>
    </w:p>
    <w:tbl>
      <w:tblPr>
        <w:tblW w:w="13066" w:type="dxa"/>
        <w:tblCellSpacing w:w="15" w:type="dxa"/>
        <w:shd w:val="clear" w:color="auto" w:fill="ECECEC"/>
        <w:tblCellMar>
          <w:left w:w="0" w:type="dxa"/>
          <w:right w:w="0" w:type="dxa"/>
        </w:tblCellMar>
        <w:tblLook w:val="04A0"/>
      </w:tblPr>
      <w:tblGrid>
        <w:gridCol w:w="3389"/>
        <w:gridCol w:w="4030"/>
        <w:gridCol w:w="2347"/>
        <w:gridCol w:w="3300"/>
      </w:tblGrid>
      <w:tr w:rsidR="000A1287" w:rsidRPr="000A1287" w:rsidTr="000A1287">
        <w:trPr>
          <w:tblCellSpacing w:w="15" w:type="dxa"/>
        </w:trPr>
        <w:tc>
          <w:tcPr>
            <w:tcW w:w="0" w:type="auto"/>
            <w:shd w:val="clear" w:color="auto" w:fill="434343"/>
            <w:vAlign w:val="center"/>
            <w:hideMark/>
          </w:tcPr>
          <w:p w:rsidR="000A1287" w:rsidRPr="000A1287" w:rsidRDefault="000A1287" w:rsidP="000A1287">
            <w:pPr>
              <w:spacing w:after="0" w:line="531" w:lineRule="atLeast"/>
              <w:jc w:val="center"/>
              <w:rPr>
                <w:rFonts w:ascii="Arial" w:eastAsia="Times New Roman" w:hAnsi="Arial" w:cs="Arial"/>
                <w:b/>
                <w:bCs/>
                <w:color w:val="FFFFFF"/>
                <w:sz w:val="23"/>
                <w:szCs w:val="23"/>
              </w:rPr>
            </w:pPr>
            <w:r w:rsidRPr="000A1287">
              <w:rPr>
                <w:rFonts w:ascii="Arial" w:eastAsia="Times New Roman" w:hAnsi="Arial" w:cs="Arial"/>
                <w:b/>
                <w:bCs/>
                <w:color w:val="FFFFFF"/>
                <w:sz w:val="23"/>
                <w:szCs w:val="23"/>
              </w:rPr>
              <w:t>Particulars</w:t>
            </w:r>
          </w:p>
        </w:tc>
        <w:tc>
          <w:tcPr>
            <w:tcW w:w="0" w:type="auto"/>
            <w:shd w:val="clear" w:color="auto" w:fill="434343"/>
            <w:vAlign w:val="center"/>
            <w:hideMark/>
          </w:tcPr>
          <w:p w:rsidR="000A1287" w:rsidRPr="000A1287" w:rsidRDefault="000A1287" w:rsidP="000A1287">
            <w:pPr>
              <w:spacing w:after="0" w:line="531" w:lineRule="atLeast"/>
              <w:jc w:val="center"/>
              <w:rPr>
                <w:rFonts w:ascii="Arial" w:eastAsia="Times New Roman" w:hAnsi="Arial" w:cs="Arial"/>
                <w:b/>
                <w:bCs/>
                <w:color w:val="FFFFFF"/>
                <w:sz w:val="23"/>
                <w:szCs w:val="23"/>
              </w:rPr>
            </w:pPr>
            <w:r w:rsidRPr="000A1287">
              <w:rPr>
                <w:rFonts w:ascii="Arial" w:eastAsia="Times New Roman" w:hAnsi="Arial" w:cs="Arial"/>
                <w:b/>
                <w:bCs/>
                <w:color w:val="FFFFFF"/>
                <w:sz w:val="23"/>
                <w:szCs w:val="23"/>
              </w:rPr>
              <w:t>PPF</w:t>
            </w:r>
          </w:p>
        </w:tc>
        <w:tc>
          <w:tcPr>
            <w:tcW w:w="0" w:type="auto"/>
            <w:shd w:val="clear" w:color="auto" w:fill="434343"/>
            <w:vAlign w:val="center"/>
            <w:hideMark/>
          </w:tcPr>
          <w:p w:rsidR="000A1287" w:rsidRPr="000A1287" w:rsidRDefault="000A1287" w:rsidP="000A1287">
            <w:pPr>
              <w:spacing w:after="0" w:line="531" w:lineRule="atLeast"/>
              <w:jc w:val="center"/>
              <w:rPr>
                <w:rFonts w:ascii="Arial" w:eastAsia="Times New Roman" w:hAnsi="Arial" w:cs="Arial"/>
                <w:b/>
                <w:bCs/>
                <w:color w:val="FFFFFF"/>
                <w:sz w:val="23"/>
                <w:szCs w:val="23"/>
              </w:rPr>
            </w:pPr>
            <w:r w:rsidRPr="000A1287">
              <w:rPr>
                <w:rFonts w:ascii="Arial" w:eastAsia="Times New Roman" w:hAnsi="Arial" w:cs="Arial"/>
                <w:b/>
                <w:bCs/>
                <w:color w:val="FFFFFF"/>
                <w:sz w:val="23"/>
                <w:szCs w:val="23"/>
              </w:rPr>
              <w:t>NSC</w:t>
            </w:r>
          </w:p>
        </w:tc>
        <w:tc>
          <w:tcPr>
            <w:tcW w:w="0" w:type="auto"/>
            <w:shd w:val="clear" w:color="auto" w:fill="434343"/>
            <w:vAlign w:val="center"/>
            <w:hideMark/>
          </w:tcPr>
          <w:p w:rsidR="000A1287" w:rsidRPr="000A1287" w:rsidRDefault="000A1287" w:rsidP="000A1287">
            <w:pPr>
              <w:spacing w:after="0" w:line="531" w:lineRule="atLeast"/>
              <w:jc w:val="center"/>
              <w:rPr>
                <w:rFonts w:ascii="Arial" w:eastAsia="Times New Roman" w:hAnsi="Arial" w:cs="Arial"/>
                <w:b/>
                <w:bCs/>
                <w:color w:val="FFFFFF"/>
                <w:sz w:val="23"/>
                <w:szCs w:val="23"/>
              </w:rPr>
            </w:pPr>
            <w:r w:rsidRPr="000A1287">
              <w:rPr>
                <w:rFonts w:ascii="Arial" w:eastAsia="Times New Roman" w:hAnsi="Arial" w:cs="Arial"/>
                <w:b/>
                <w:bCs/>
                <w:color w:val="FFFFFF"/>
                <w:sz w:val="23"/>
                <w:szCs w:val="23"/>
              </w:rPr>
              <w:t>ELSS</w:t>
            </w:r>
          </w:p>
        </w:tc>
      </w:tr>
      <w:tr w:rsidR="000A1287" w:rsidRPr="000A1287" w:rsidTr="000A1287">
        <w:trPr>
          <w:tblCellSpacing w:w="15" w:type="dxa"/>
        </w:trPr>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Tenure</w:t>
            </w:r>
          </w:p>
        </w:tc>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15 years</w:t>
            </w:r>
          </w:p>
        </w:tc>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6 years</w:t>
            </w:r>
          </w:p>
        </w:tc>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3 years</w:t>
            </w:r>
          </w:p>
        </w:tc>
      </w:tr>
      <w:tr w:rsidR="000A1287" w:rsidRPr="000A1287" w:rsidTr="000A1287">
        <w:trPr>
          <w:tblCellSpacing w:w="15" w:type="dxa"/>
        </w:trPr>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Returns</w:t>
            </w:r>
          </w:p>
        </w:tc>
        <w:tc>
          <w:tcPr>
            <w:tcW w:w="0" w:type="auto"/>
            <w:shd w:val="clear" w:color="auto" w:fill="CDCDCD"/>
            <w:tcMar>
              <w:top w:w="76" w:type="dxa"/>
              <w:left w:w="455" w:type="dxa"/>
              <w:bottom w:w="76" w:type="dxa"/>
              <w:right w:w="0" w:type="dxa"/>
            </w:tcMar>
            <w:vAlign w:val="center"/>
            <w:hideMark/>
          </w:tcPr>
          <w:p w:rsidR="000A1287" w:rsidRPr="000A1287" w:rsidRDefault="000A1287" w:rsidP="000A1287">
            <w:pPr>
              <w:spacing w:after="0" w:line="303"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8.80 % *</w:t>
            </w:r>
            <w:r w:rsidRPr="000A1287">
              <w:rPr>
                <w:rFonts w:ascii="Arial" w:eastAsia="Times New Roman" w:hAnsi="Arial" w:cs="Arial"/>
                <w:color w:val="434343"/>
                <w:sz w:val="23"/>
                <w:szCs w:val="23"/>
              </w:rPr>
              <w:br/>
              <w:t>(Compounded Annually)</w:t>
            </w:r>
          </w:p>
        </w:tc>
        <w:tc>
          <w:tcPr>
            <w:tcW w:w="0" w:type="auto"/>
            <w:shd w:val="clear" w:color="auto" w:fill="CDCDCD"/>
            <w:tcMar>
              <w:top w:w="76" w:type="dxa"/>
              <w:left w:w="455" w:type="dxa"/>
              <w:bottom w:w="76" w:type="dxa"/>
              <w:right w:w="0" w:type="dxa"/>
            </w:tcMar>
            <w:vAlign w:val="center"/>
            <w:hideMark/>
          </w:tcPr>
          <w:p w:rsidR="000A1287" w:rsidRPr="000A1287" w:rsidRDefault="000A1287" w:rsidP="000A1287">
            <w:pPr>
              <w:spacing w:after="0" w:line="303"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8.60 to 8.90 % *</w:t>
            </w:r>
            <w:r w:rsidRPr="000A1287">
              <w:rPr>
                <w:rFonts w:ascii="Arial" w:eastAsia="Times New Roman" w:hAnsi="Arial" w:cs="Arial"/>
                <w:color w:val="434343"/>
                <w:sz w:val="23"/>
                <w:szCs w:val="23"/>
              </w:rPr>
              <w:br/>
              <w:t>(Compounded half-yearly)</w:t>
            </w:r>
          </w:p>
        </w:tc>
        <w:tc>
          <w:tcPr>
            <w:tcW w:w="0" w:type="auto"/>
            <w:shd w:val="clear" w:color="auto" w:fill="CDCDCD"/>
            <w:tcMar>
              <w:top w:w="76" w:type="dxa"/>
              <w:left w:w="455" w:type="dxa"/>
              <w:bottom w:w="76" w:type="dxa"/>
              <w:right w:w="0" w:type="dxa"/>
            </w:tcMar>
            <w:vAlign w:val="center"/>
            <w:hideMark/>
          </w:tcPr>
          <w:p w:rsidR="000A1287" w:rsidRPr="000A1287" w:rsidRDefault="000A1287" w:rsidP="000A1287">
            <w:pPr>
              <w:spacing w:after="0" w:line="303"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Returns / Dividends are Market</w:t>
            </w:r>
            <w:r w:rsidRPr="000A1287">
              <w:rPr>
                <w:rFonts w:ascii="Arial" w:eastAsia="Times New Roman" w:hAnsi="Arial" w:cs="Arial"/>
                <w:color w:val="434343"/>
                <w:sz w:val="23"/>
                <w:szCs w:val="23"/>
              </w:rPr>
              <w:br/>
              <w:t>linked and not assured</w:t>
            </w:r>
          </w:p>
        </w:tc>
      </w:tr>
      <w:tr w:rsidR="000A1287" w:rsidRPr="000A1287" w:rsidTr="000A1287">
        <w:trPr>
          <w:tblCellSpacing w:w="15" w:type="dxa"/>
        </w:trPr>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Minimum Investment</w:t>
            </w:r>
          </w:p>
        </w:tc>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Rs.500</w:t>
            </w:r>
          </w:p>
        </w:tc>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Rs.100</w:t>
            </w:r>
          </w:p>
        </w:tc>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Rs.500</w:t>
            </w:r>
          </w:p>
        </w:tc>
      </w:tr>
      <w:tr w:rsidR="000A1287" w:rsidRPr="000A1287" w:rsidTr="000A1287">
        <w:trPr>
          <w:tblCellSpacing w:w="15" w:type="dxa"/>
        </w:trPr>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Maximum Investment</w:t>
            </w:r>
          </w:p>
        </w:tc>
        <w:tc>
          <w:tcPr>
            <w:tcW w:w="0" w:type="auto"/>
            <w:shd w:val="clear" w:color="auto" w:fill="CDCDCD"/>
            <w:tcMar>
              <w:top w:w="0" w:type="dxa"/>
              <w:left w:w="455" w:type="dxa"/>
              <w:bottom w:w="0" w:type="dxa"/>
              <w:right w:w="0" w:type="dxa"/>
            </w:tcMar>
            <w:vAlign w:val="center"/>
            <w:hideMark/>
          </w:tcPr>
          <w:p w:rsidR="000A1287" w:rsidRPr="000A1287" w:rsidRDefault="004B5A5A" w:rsidP="0075136D">
            <w:pPr>
              <w:spacing w:after="0" w:line="531" w:lineRule="atLeast"/>
              <w:rPr>
                <w:rFonts w:ascii="Arial" w:eastAsia="Times New Roman" w:hAnsi="Arial" w:cs="Arial"/>
                <w:color w:val="434343"/>
                <w:sz w:val="23"/>
                <w:szCs w:val="23"/>
              </w:rPr>
            </w:pPr>
            <w:r>
              <w:rPr>
                <w:rFonts w:ascii="Arial" w:eastAsia="Times New Roman" w:hAnsi="Arial" w:cs="Arial"/>
                <w:color w:val="434343"/>
                <w:sz w:val="23"/>
                <w:szCs w:val="23"/>
              </w:rPr>
              <w:t>Rs.1,5</w:t>
            </w:r>
            <w:r w:rsidR="000A1287" w:rsidRPr="000A1287">
              <w:rPr>
                <w:rFonts w:ascii="Arial" w:eastAsia="Times New Roman" w:hAnsi="Arial" w:cs="Arial"/>
                <w:color w:val="434343"/>
                <w:sz w:val="23"/>
                <w:szCs w:val="23"/>
              </w:rPr>
              <w:t>0,000</w:t>
            </w:r>
            <w:r>
              <w:rPr>
                <w:rFonts w:ascii="Arial" w:eastAsia="Times New Roman" w:hAnsi="Arial" w:cs="Arial"/>
                <w:color w:val="434343"/>
                <w:sz w:val="23"/>
                <w:szCs w:val="23"/>
              </w:rPr>
              <w:t>(</w:t>
            </w:r>
            <w:r w:rsidRPr="00193CCB">
              <w:rPr>
                <w:rFonts w:ascii="Arial" w:eastAsia="Times New Roman" w:hAnsi="Arial" w:cs="Arial"/>
                <w:b/>
                <w:color w:val="434343"/>
                <w:sz w:val="23"/>
                <w:szCs w:val="23"/>
              </w:rPr>
              <w:t>NewNorms 14-15</w:t>
            </w:r>
            <w:r w:rsidR="003062C9" w:rsidRPr="00193CCB">
              <w:rPr>
                <w:rFonts w:ascii="Arial" w:eastAsia="Times New Roman" w:hAnsi="Arial" w:cs="Arial"/>
                <w:b/>
                <w:color w:val="434343"/>
                <w:sz w:val="23"/>
                <w:szCs w:val="23"/>
              </w:rPr>
              <w:t>)</w:t>
            </w:r>
          </w:p>
        </w:tc>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No limit^</w:t>
            </w:r>
          </w:p>
        </w:tc>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No limit^</w:t>
            </w:r>
          </w:p>
        </w:tc>
      </w:tr>
      <w:tr w:rsidR="000A1287" w:rsidRPr="000A1287" w:rsidTr="000A1287">
        <w:trPr>
          <w:tblCellSpacing w:w="15" w:type="dxa"/>
        </w:trPr>
        <w:tc>
          <w:tcPr>
            <w:tcW w:w="0" w:type="auto"/>
            <w:shd w:val="clear" w:color="auto" w:fill="CDCDCD"/>
            <w:tcMar>
              <w:top w:w="76" w:type="dxa"/>
              <w:left w:w="455" w:type="dxa"/>
              <w:bottom w:w="76" w:type="dxa"/>
              <w:right w:w="0" w:type="dxa"/>
            </w:tcMar>
            <w:vAlign w:val="center"/>
            <w:hideMark/>
          </w:tcPr>
          <w:p w:rsidR="000A1287" w:rsidRPr="000A1287" w:rsidRDefault="000A1287" w:rsidP="000A1287">
            <w:pPr>
              <w:spacing w:after="0" w:line="303"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Amount eligible for deduction u/s 80C of Income Tax Act, 1961</w:t>
            </w:r>
          </w:p>
        </w:tc>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Rs.1,00,000</w:t>
            </w:r>
          </w:p>
        </w:tc>
        <w:tc>
          <w:tcPr>
            <w:tcW w:w="0" w:type="auto"/>
            <w:shd w:val="clear" w:color="auto" w:fill="CDCDCD"/>
            <w:tcMar>
              <w:top w:w="76" w:type="dxa"/>
              <w:left w:w="455" w:type="dxa"/>
              <w:bottom w:w="76"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Rs 1,00,000</w:t>
            </w:r>
          </w:p>
        </w:tc>
        <w:tc>
          <w:tcPr>
            <w:tcW w:w="0" w:type="auto"/>
            <w:shd w:val="clear" w:color="auto" w:fill="CDCDCD"/>
            <w:tcMar>
              <w:top w:w="76" w:type="dxa"/>
              <w:left w:w="455" w:type="dxa"/>
              <w:bottom w:w="76"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Rs 1,00,000</w:t>
            </w:r>
          </w:p>
        </w:tc>
      </w:tr>
      <w:tr w:rsidR="000A1287" w:rsidRPr="000A1287" w:rsidTr="000A1287">
        <w:trPr>
          <w:tblCellSpacing w:w="15" w:type="dxa"/>
        </w:trPr>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Taxation for interest</w:t>
            </w:r>
          </w:p>
        </w:tc>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Tax free</w:t>
            </w:r>
          </w:p>
        </w:tc>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Taxable</w:t>
            </w:r>
          </w:p>
        </w:tc>
        <w:tc>
          <w:tcPr>
            <w:tcW w:w="0" w:type="auto"/>
            <w:shd w:val="clear" w:color="auto" w:fill="CDCDCD"/>
            <w:tcMar>
              <w:top w:w="76" w:type="dxa"/>
              <w:left w:w="455" w:type="dxa"/>
              <w:bottom w:w="76" w:type="dxa"/>
              <w:right w:w="0" w:type="dxa"/>
            </w:tcMar>
            <w:vAlign w:val="center"/>
            <w:hideMark/>
          </w:tcPr>
          <w:p w:rsidR="000A1287" w:rsidRPr="000A1287" w:rsidRDefault="000A1287" w:rsidP="000A1287">
            <w:pPr>
              <w:spacing w:after="0" w:line="303"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Dividends and capital gain tax free in the hands of the investor</w:t>
            </w:r>
          </w:p>
        </w:tc>
      </w:tr>
      <w:tr w:rsidR="000A1287" w:rsidRPr="000A1287" w:rsidTr="000A1287">
        <w:trPr>
          <w:tblCellSpacing w:w="15" w:type="dxa"/>
        </w:trPr>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Safety/ Risk</w:t>
            </w:r>
          </w:p>
        </w:tc>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Highest Safety</w:t>
            </w:r>
          </w:p>
        </w:tc>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Highest Safety</w:t>
            </w:r>
          </w:p>
        </w:tc>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High Risk</w:t>
            </w:r>
          </w:p>
        </w:tc>
      </w:tr>
      <w:tr w:rsidR="000A1287" w:rsidRPr="000A1287" w:rsidTr="000A1287">
        <w:trPr>
          <w:tblCellSpacing w:w="15" w:type="dxa"/>
        </w:trPr>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Lock-in Period</w:t>
            </w:r>
          </w:p>
        </w:tc>
        <w:tc>
          <w:tcPr>
            <w:tcW w:w="0" w:type="auto"/>
            <w:shd w:val="clear" w:color="auto" w:fill="CDCDCD"/>
            <w:tcMar>
              <w:top w:w="76" w:type="dxa"/>
              <w:left w:w="455" w:type="dxa"/>
              <w:bottom w:w="76" w:type="dxa"/>
              <w:right w:w="0" w:type="dxa"/>
            </w:tcMar>
            <w:vAlign w:val="center"/>
            <w:hideMark/>
          </w:tcPr>
          <w:p w:rsidR="000A1287" w:rsidRPr="000A1287" w:rsidRDefault="000A1287" w:rsidP="000A1287">
            <w:pPr>
              <w:spacing w:after="0" w:line="303"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15 Years - Partial Withdrawal after 6 years is permitted</w:t>
            </w:r>
          </w:p>
        </w:tc>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6 Years</w:t>
            </w:r>
          </w:p>
        </w:tc>
        <w:tc>
          <w:tcPr>
            <w:tcW w:w="0" w:type="auto"/>
            <w:shd w:val="clear" w:color="auto" w:fill="CDCDCD"/>
            <w:tcMar>
              <w:top w:w="0" w:type="dxa"/>
              <w:left w:w="455" w:type="dxa"/>
              <w:bottom w:w="0" w:type="dxa"/>
              <w:right w:w="0" w:type="dxa"/>
            </w:tcMar>
            <w:vAlign w:val="center"/>
            <w:hideMark/>
          </w:tcPr>
          <w:p w:rsidR="000A1287" w:rsidRPr="000A1287" w:rsidRDefault="000A1287" w:rsidP="000A1287">
            <w:pPr>
              <w:spacing w:after="0" w:line="531" w:lineRule="atLeast"/>
              <w:rPr>
                <w:rFonts w:ascii="Arial" w:eastAsia="Times New Roman" w:hAnsi="Arial" w:cs="Arial"/>
                <w:color w:val="434343"/>
                <w:sz w:val="23"/>
                <w:szCs w:val="23"/>
              </w:rPr>
            </w:pPr>
            <w:r w:rsidRPr="000A1287">
              <w:rPr>
                <w:rFonts w:ascii="Arial" w:eastAsia="Times New Roman" w:hAnsi="Arial" w:cs="Arial"/>
                <w:color w:val="434343"/>
                <w:sz w:val="23"/>
                <w:szCs w:val="23"/>
              </w:rPr>
              <w:t>3 years</w:t>
            </w:r>
          </w:p>
        </w:tc>
      </w:tr>
    </w:tbl>
    <w:p w:rsidR="000A1287" w:rsidRDefault="000A1287" w:rsidP="000A1287">
      <w:pPr>
        <w:pStyle w:val="NormalWeb"/>
        <w:shd w:val="clear" w:color="auto" w:fill="FFFFFF"/>
        <w:spacing w:before="0" w:beforeAutospacing="0" w:after="227" w:afterAutospacing="0" w:line="273" w:lineRule="atLeast"/>
        <w:rPr>
          <w:rFonts w:ascii="Arial" w:hAnsi="Arial" w:cs="Arial"/>
          <w:color w:val="404040"/>
          <w:sz w:val="20"/>
          <w:szCs w:val="20"/>
        </w:rPr>
      </w:pPr>
    </w:p>
    <w:p w:rsidR="000A1287" w:rsidRDefault="000A1287"/>
    <w:sectPr w:rsidR="000A1287" w:rsidSect="000A1287">
      <w:pgSz w:w="16839" w:h="11907" w:orient="landscape"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characterSpacingControl w:val="doNotCompress"/>
  <w:compat/>
  <w:rsids>
    <w:rsidRoot w:val="000A1287"/>
    <w:rsid w:val="000A1287"/>
    <w:rsid w:val="00193CCB"/>
    <w:rsid w:val="001C06CE"/>
    <w:rsid w:val="001E016C"/>
    <w:rsid w:val="002D4560"/>
    <w:rsid w:val="003062C9"/>
    <w:rsid w:val="004B5A5A"/>
    <w:rsid w:val="004B5EF5"/>
    <w:rsid w:val="00680FAC"/>
    <w:rsid w:val="0075136D"/>
    <w:rsid w:val="008E5534"/>
    <w:rsid w:val="00924047"/>
    <w:rsid w:val="00BE584E"/>
    <w:rsid w:val="00DC24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1287"/>
    <w:rPr>
      <w:b/>
      <w:bCs/>
    </w:rPr>
  </w:style>
  <w:style w:type="paragraph" w:styleId="NormalWeb">
    <w:name w:val="Normal (Web)"/>
    <w:basedOn w:val="Normal"/>
    <w:uiPriority w:val="99"/>
    <w:semiHidden/>
    <w:unhideWhenUsed/>
    <w:rsid w:val="000A12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1287"/>
  </w:style>
  <w:style w:type="paragraph" w:customStyle="1" w:styleId="tblfooter">
    <w:name w:val="tblfooter"/>
    <w:basedOn w:val="Normal"/>
    <w:rsid w:val="000A12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1287"/>
    <w:rPr>
      <w:i/>
      <w:iCs/>
    </w:rPr>
  </w:style>
</w:styles>
</file>

<file path=word/webSettings.xml><?xml version="1.0" encoding="utf-8"?>
<w:webSettings xmlns:r="http://schemas.openxmlformats.org/officeDocument/2006/relationships" xmlns:w="http://schemas.openxmlformats.org/wordprocessingml/2006/main">
  <w:divs>
    <w:div w:id="625241131">
      <w:bodyDiv w:val="1"/>
      <w:marLeft w:val="0"/>
      <w:marRight w:val="0"/>
      <w:marTop w:val="0"/>
      <w:marBottom w:val="0"/>
      <w:divBdr>
        <w:top w:val="none" w:sz="0" w:space="0" w:color="auto"/>
        <w:left w:val="none" w:sz="0" w:space="0" w:color="auto"/>
        <w:bottom w:val="none" w:sz="0" w:space="0" w:color="auto"/>
        <w:right w:val="none" w:sz="0" w:space="0" w:color="auto"/>
      </w:divBdr>
    </w:div>
    <w:div w:id="1171332309">
      <w:bodyDiv w:val="1"/>
      <w:marLeft w:val="0"/>
      <w:marRight w:val="0"/>
      <w:marTop w:val="0"/>
      <w:marBottom w:val="0"/>
      <w:divBdr>
        <w:top w:val="none" w:sz="0" w:space="0" w:color="auto"/>
        <w:left w:val="none" w:sz="0" w:space="0" w:color="auto"/>
        <w:bottom w:val="none" w:sz="0" w:space="0" w:color="auto"/>
        <w:right w:val="none" w:sz="0" w:space="0" w:color="auto"/>
      </w:divBdr>
    </w:div>
    <w:div w:id="1422602294">
      <w:bodyDiv w:val="1"/>
      <w:marLeft w:val="0"/>
      <w:marRight w:val="0"/>
      <w:marTop w:val="0"/>
      <w:marBottom w:val="0"/>
      <w:divBdr>
        <w:top w:val="none" w:sz="0" w:space="0" w:color="auto"/>
        <w:left w:val="none" w:sz="0" w:space="0" w:color="auto"/>
        <w:bottom w:val="none" w:sz="0" w:space="0" w:color="auto"/>
        <w:right w:val="none" w:sz="0" w:space="0" w:color="auto"/>
      </w:divBdr>
    </w:div>
    <w:div w:id="20205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2014-08-06T10:00:00Z</dcterms:created>
  <dcterms:modified xsi:type="dcterms:W3CDTF">2014-08-06T10:00:00Z</dcterms:modified>
</cp:coreProperties>
</file>